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592" w:rsidRPr="00224592" w:rsidRDefault="00224592" w:rsidP="004D0FA8">
      <w:pPr>
        <w:jc w:val="center"/>
        <w:rPr>
          <w:b/>
          <w:sz w:val="24"/>
          <w:szCs w:val="24"/>
          <w:lang w:val="id-ID"/>
        </w:rPr>
      </w:pPr>
      <w:r w:rsidRPr="00224592">
        <w:rPr>
          <w:b/>
          <w:sz w:val="24"/>
          <w:szCs w:val="24"/>
          <w:lang w:val="id-ID"/>
        </w:rPr>
        <w:t>Hasil Analisis JASP</w:t>
      </w:r>
      <w:bookmarkStart w:id="0" w:name="_GoBack"/>
      <w:bookmarkEnd w:id="0"/>
    </w:p>
    <w:p w:rsidR="00224592" w:rsidRDefault="00224592" w:rsidP="004D0FA8">
      <w:pPr>
        <w:jc w:val="center"/>
        <w:rPr>
          <w:sz w:val="24"/>
          <w:szCs w:val="24"/>
          <w:lang w:val="id-ID"/>
        </w:rPr>
      </w:pPr>
    </w:p>
    <w:p w:rsidR="004D0FA8" w:rsidRPr="004D0FA8" w:rsidRDefault="004D0FA8" w:rsidP="004D0FA8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4D0FA8">
        <w:rPr>
          <w:rFonts w:ascii="Times New Roman" w:hAnsi="Times New Roman" w:cs="Times New Roman"/>
          <w:sz w:val="24"/>
          <w:szCs w:val="24"/>
          <w:lang w:val="id-ID"/>
        </w:rPr>
        <w:t xml:space="preserve">UJI NORMALITAS </w:t>
      </w:r>
    </w:p>
    <w:p w:rsidR="004D0FA8" w:rsidRPr="004D0FA8" w:rsidRDefault="004D0FA8" w:rsidP="004D0FA8">
      <w:pPr>
        <w:rPr>
          <w:b/>
          <w:bCs/>
          <w:sz w:val="24"/>
          <w:szCs w:val="24"/>
        </w:rPr>
      </w:pPr>
      <w:r w:rsidRPr="004D0FA8">
        <w:rPr>
          <w:b/>
          <w:bCs/>
          <w:sz w:val="24"/>
          <w:szCs w:val="24"/>
        </w:rPr>
        <w:t>Standardized Residuals Histogram</w:t>
      </w:r>
    </w:p>
    <w:p w:rsidR="004D0FA8" w:rsidRDefault="004D0FA8" w:rsidP="00224592">
      <w:pPr>
        <w:jc w:val="center"/>
        <w:rPr>
          <w:sz w:val="24"/>
          <w:szCs w:val="24"/>
        </w:rPr>
      </w:pPr>
      <w:r w:rsidRPr="004D0FA8">
        <w:rPr>
          <w:noProof/>
          <w:sz w:val="24"/>
          <w:szCs w:val="24"/>
        </w:rPr>
        <w:drawing>
          <wp:inline distT="0" distB="0" distL="0" distR="0">
            <wp:extent cx="2745392" cy="2072640"/>
            <wp:effectExtent l="0" t="0" r="0" b="3810"/>
            <wp:docPr id="1" name="Picture 1" descr="C:\Users\ASUS\AppData\Local\JASP\temp\clipboard\resources\1\_0_t14107175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AppData\Local\JASP\temp\clipboard\resources\1\_0_t141071750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216" cy="2102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A8" w:rsidRDefault="004D0FA8" w:rsidP="004D0FA8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Hasil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uji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asumsi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normalitas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menunjukkan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terdistribusi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normal.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Puncak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distribusi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berada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di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sekitar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titik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nol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dengan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bentuk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grafik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menyerup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kurva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lonceng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simetris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Oleh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karena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disimpulkan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bahwa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asumsi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normalitas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terpenuhi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sehingga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data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dapat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digunakan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untuk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analisis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statistik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lanjutan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eastAsia="Times New Roman" w:hAnsi="Times New Roman" w:cs="Times New Roman"/>
          <w:sz w:val="24"/>
          <w:szCs w:val="24"/>
        </w:rPr>
        <w:t>secara</w:t>
      </w:r>
      <w:proofErr w:type="spellEnd"/>
      <w:r w:rsidRPr="00252B6A">
        <w:rPr>
          <w:rFonts w:ascii="Times New Roman" w:eastAsia="Times New Roman" w:hAnsi="Times New Roman" w:cs="Times New Roman"/>
          <w:sz w:val="24"/>
          <w:szCs w:val="24"/>
        </w:rPr>
        <w:t xml:space="preserve"> valid.</w:t>
      </w:r>
    </w:p>
    <w:p w:rsidR="004D0FA8" w:rsidRDefault="004D0FA8" w:rsidP="004D0FA8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D0FA8" w:rsidRDefault="004D0FA8" w:rsidP="004D0FA8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UJI LINEARITAS </w:t>
      </w:r>
    </w:p>
    <w:p w:rsidR="00983352" w:rsidRPr="00983352" w:rsidRDefault="00983352" w:rsidP="004D0FA8">
      <w:pPr>
        <w:spacing w:after="126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4D0FA8" w:rsidRDefault="004D0FA8" w:rsidP="00224592">
      <w:pPr>
        <w:spacing w:after="126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0FA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56560" cy="2230989"/>
            <wp:effectExtent l="0" t="0" r="0" b="0"/>
            <wp:docPr id="2" name="Picture 2" descr="C:\Users\ASUS\AppData\Local\JASP\temp\clipboard\resources\1\_2_t14107248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SUS\AppData\Local\JASP\temp\clipboard\resources\1\_2_t1410724836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539" cy="2237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A8" w:rsidRDefault="004D0FA8" w:rsidP="004D0F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0FA8" w:rsidRDefault="004D0FA8" w:rsidP="004D0F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0FA8" w:rsidRDefault="004D0FA8" w:rsidP="004D0F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0FA8" w:rsidRDefault="004D0FA8" w:rsidP="004D0FA8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D0FA8" w:rsidRDefault="004D0FA8" w:rsidP="00224592">
      <w:pPr>
        <w:spacing w:after="108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0FA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03220" cy="2190739"/>
            <wp:effectExtent l="0" t="0" r="0" b="635"/>
            <wp:docPr id="3" name="Picture 3" descr="C:\Users\ASUS\AppData\Local\JASP\temp\clipboard\resources\1\_3_t14107265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SUS\AppData\Local\JASP\temp\clipboard\resources\1\_3_t14107265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203" cy="21982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FA8" w:rsidRPr="00252B6A" w:rsidRDefault="004D0FA8" w:rsidP="004D0FA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2B6A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adanya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dukungan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sosial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manajemen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stres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Grafik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scatter plot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titik-titik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menyebar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mendekati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garis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lurus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menyerupai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elips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>, yang</w:t>
      </w:r>
      <w:r w:rsidRPr="00252B6A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mengindikasikan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hubungan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linear.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Pola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juga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menunjukkan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kecenderungan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negatif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, di mana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peningkatan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cenderung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diikuti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penurunan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pada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variabel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demikian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disimpulkan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asumsi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52B6A">
        <w:rPr>
          <w:rFonts w:ascii="Times New Roman" w:hAnsi="Times New Roman" w:cs="Times New Roman"/>
          <w:sz w:val="24"/>
          <w:szCs w:val="24"/>
        </w:rPr>
        <w:t>linearitas</w:t>
      </w:r>
      <w:proofErr w:type="spellEnd"/>
      <w:r w:rsidRPr="00252B6A">
        <w:rPr>
          <w:rFonts w:ascii="Times New Roman" w:hAnsi="Times New Roman" w:cs="Times New Roman"/>
          <w:sz w:val="24"/>
          <w:szCs w:val="24"/>
        </w:rPr>
        <w:t>.</w:t>
      </w:r>
    </w:p>
    <w:p w:rsidR="004D0FA8" w:rsidRDefault="004D0FA8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D0FA8" w:rsidRDefault="004D0FA8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UJI MULTIKOLINIEARITAS </w:t>
      </w: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2194"/>
        <w:gridCol w:w="1303"/>
        <w:gridCol w:w="1003"/>
      </w:tblGrid>
      <w:tr w:rsidR="00D20BE1" w:rsidTr="006E0839">
        <w:trPr>
          <w:trHeight w:val="302"/>
        </w:trPr>
        <w:tc>
          <w:tcPr>
            <w:tcW w:w="219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20BE1" w:rsidTr="006E0839">
        <w:trPr>
          <w:trHeight w:val="557"/>
        </w:trPr>
        <w:tc>
          <w:tcPr>
            <w:tcW w:w="219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30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Collinearity Statistics</w:t>
            </w:r>
          </w:p>
        </w:tc>
      </w:tr>
      <w:tr w:rsidR="00D20BE1" w:rsidTr="006E0839">
        <w:trPr>
          <w:trHeight w:val="530"/>
        </w:trPr>
        <w:tc>
          <w:tcPr>
            <w:tcW w:w="219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Variabel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</w:p>
        </w:tc>
        <w:tc>
          <w:tcPr>
            <w:tcW w:w="13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Tolerance</w:t>
            </w: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VIF</w:t>
            </w:r>
          </w:p>
        </w:tc>
      </w:tr>
      <w:tr w:rsidR="00D20BE1" w:rsidTr="006E0839">
        <w:trPr>
          <w:trHeight w:val="290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DUKUNGAN SOSIAL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20BE1" w:rsidRP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  <w:lang w:val="id-ID"/>
              </w:rPr>
              <w:t>.884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1.131</w:t>
            </w:r>
          </w:p>
        </w:tc>
      </w:tr>
      <w:tr w:rsidR="00D20BE1" w:rsidTr="006E0839">
        <w:trPr>
          <w:trHeight w:val="290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MANAJEMEN WAKTU</w:t>
            </w: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20BE1" w:rsidRP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  <w:lang w:val="id-ID"/>
              </w:rPr>
              <w:t>.884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1.131</w:t>
            </w:r>
          </w:p>
        </w:tc>
      </w:tr>
      <w:tr w:rsidR="00D20BE1" w:rsidTr="006E0839">
        <w:trPr>
          <w:trHeight w:val="302"/>
        </w:trPr>
        <w:tc>
          <w:tcPr>
            <w:tcW w:w="219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20BE1" w:rsidTr="006E0839">
        <w:trPr>
          <w:trHeight w:val="290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 w:rsidP="0081107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2244DF" w:rsidRPr="000B5101" w:rsidRDefault="00811078" w:rsidP="002244DF">
      <w:pPr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br w:type="textWrapping" w:clear="all"/>
      </w:r>
      <w:r w:rsidR="002244DF" w:rsidRPr="000B5101">
        <w:rPr>
          <w:rFonts w:ascii="Times New Roman" w:hAnsi="Times New Roman" w:cs="Times New Roman"/>
          <w:sz w:val="24"/>
          <w:szCs w:val="24"/>
          <w:lang w:val="id-ID"/>
        </w:rPr>
        <w:t xml:space="preserve">Hasil uji multikolinearitas menunjukkan bahwa data memenuhi asumsi multikolinearitas karena nilai VIF </w:t>
      </w:r>
      <w:r w:rsidR="002244DF">
        <w:rPr>
          <w:rFonts w:ascii="Times New Roman" w:hAnsi="Times New Roman" w:cs="Times New Roman"/>
          <w:sz w:val="24"/>
          <w:szCs w:val="24"/>
          <w:lang w:val="id-ID"/>
        </w:rPr>
        <w:t xml:space="preserve">&lt; 10 (VIF = 1.131). </w:t>
      </w:r>
      <w:r w:rsidR="002244DF" w:rsidRPr="000B5101">
        <w:rPr>
          <w:rFonts w:ascii="Times New Roman" w:hAnsi="Times New Roman" w:cs="Times New Roman"/>
          <w:sz w:val="24"/>
          <w:szCs w:val="24"/>
          <w:lang w:val="id-ID"/>
        </w:rPr>
        <w:t>Berdasarkan hasil ini, dapat disimpulkan bahwa data penelitian telah lolos uji asumsi multikolinearitas, sehingga analisis regresi dan uji hipotesis selanjutnya dapat dilanjutkan dengan validitas yang terjamin.</w:t>
      </w:r>
    </w:p>
    <w:p w:rsidR="00D20BE1" w:rsidRDefault="00D20BE1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995BCA" w:rsidRDefault="00995BCA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2244DF" w:rsidRDefault="002244DF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2244DF" w:rsidRDefault="002244DF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7C586A" w:rsidRDefault="007C586A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995BCA" w:rsidRDefault="00995BCA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>UJI KORELASI PEARSON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591"/>
        <w:gridCol w:w="1003"/>
        <w:gridCol w:w="1241"/>
        <w:gridCol w:w="1440"/>
        <w:gridCol w:w="1592"/>
      </w:tblGrid>
      <w:tr w:rsidR="00D20BE1" w:rsidTr="00224592">
        <w:trPr>
          <w:trHeight w:val="302"/>
          <w:jc w:val="center"/>
        </w:trPr>
        <w:tc>
          <w:tcPr>
            <w:tcW w:w="259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D20BE1" w:rsidTr="00224592">
        <w:trPr>
          <w:trHeight w:val="581"/>
          <w:jc w:val="center"/>
        </w:trPr>
        <w:tc>
          <w:tcPr>
            <w:tcW w:w="159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Variable</w:t>
            </w: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4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STRESS AKADEMIK</w:t>
            </w:r>
          </w:p>
        </w:tc>
        <w:tc>
          <w:tcPr>
            <w:tcW w:w="144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DUKUNGAN SOSIAL</w:t>
            </w:r>
          </w:p>
        </w:tc>
        <w:tc>
          <w:tcPr>
            <w:tcW w:w="159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MANAJEMEN WAKTU</w:t>
            </w:r>
          </w:p>
        </w:tc>
      </w:tr>
      <w:tr w:rsidR="00D20BE1" w:rsidTr="00224592">
        <w:trPr>
          <w:trHeight w:val="593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 STRESS AKADEMIK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Pearson's r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20BE1" w:rsidTr="00224592">
        <w:trPr>
          <w:trHeight w:val="302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p-value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20BE1" w:rsidTr="00224592">
        <w:trPr>
          <w:trHeight w:val="581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 DUKUNGAN SOSIAL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Pearson's r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-0.233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—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20BE1" w:rsidTr="00224592">
        <w:trPr>
          <w:trHeight w:val="290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p-value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 .001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—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D20BE1" w:rsidTr="00224592">
        <w:trPr>
          <w:trHeight w:val="581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2244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  <w:r w:rsidR="00D20BE1">
              <w:rPr>
                <w:rFonts w:ascii="Calibri" w:hAnsi="Calibri" w:cs="Calibri"/>
                <w:color w:val="000000"/>
              </w:rPr>
              <w:t>MANAJEMEN WAKTU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Pearson's r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-0.349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0,34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—</w:t>
            </w:r>
          </w:p>
        </w:tc>
      </w:tr>
      <w:tr w:rsidR="00D20BE1" w:rsidTr="00224592">
        <w:trPr>
          <w:trHeight w:val="290"/>
          <w:jc w:val="center"/>
        </w:trPr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p-value</w:t>
            </w:r>
          </w:p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 .001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&lt; .001</w:t>
            </w:r>
          </w:p>
        </w:tc>
        <w:tc>
          <w:tcPr>
            <w:tcW w:w="1592" w:type="dxa"/>
            <w:tcBorders>
              <w:top w:val="nil"/>
              <w:left w:val="nil"/>
              <w:bottom w:val="nil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—</w:t>
            </w:r>
          </w:p>
        </w:tc>
      </w:tr>
      <w:tr w:rsidR="00D20BE1" w:rsidTr="00224592">
        <w:trPr>
          <w:trHeight w:val="302"/>
          <w:jc w:val="center"/>
        </w:trPr>
        <w:tc>
          <w:tcPr>
            <w:tcW w:w="159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4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59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D20BE1" w:rsidRDefault="00D20B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995BCA" w:rsidRDefault="006E0839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</w:p>
    <w:p w:rsidR="006E0839" w:rsidRDefault="006E0839" w:rsidP="006E0839">
      <w:pPr>
        <w:spacing w:after="10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 w:rsidRPr="006E0839">
        <w:rPr>
          <w:rFonts w:ascii="Times New Roman" w:eastAsia="Times New Roman" w:hAnsi="Times New Roman" w:cs="Times New Roman"/>
          <w:sz w:val="24"/>
          <w:szCs w:val="24"/>
          <w:lang w:val="id-ID"/>
        </w:rPr>
        <w:t>Hasil uji korelasi menunjukkan bahwa dukungan sosial (r = -0.233, p &lt; .001) dan manajeme</w:t>
      </w: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n waktu (r = -0.349,  </w:t>
      </w:r>
      <w:r w:rsidRPr="006E0839">
        <w:rPr>
          <w:rFonts w:ascii="Times New Roman" w:eastAsia="Times New Roman" w:hAnsi="Times New Roman" w:cs="Times New Roman"/>
          <w:sz w:val="24"/>
          <w:szCs w:val="24"/>
          <w:lang w:val="id-ID"/>
        </w:rPr>
        <w:t>p &lt; .001) memiliki hubungan negatif signifikan dengan stres akademik. Selain itu, dukungan sosial dan manajemen waktu memiliki hubungan positif signifikan (r = 0.340, p &lt; .001). Artinya, semakin tinggi dukungan sosial dan manajemen waktu, semakin rendah stres akademik yang dirasakan.</w:t>
      </w:r>
    </w:p>
    <w:p w:rsidR="004D0FA8" w:rsidRPr="004D0FA8" w:rsidRDefault="00995BCA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</w:p>
    <w:p w:rsidR="004D0FA8" w:rsidRDefault="002244DF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UJI F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78"/>
        <w:gridCol w:w="1404"/>
        <w:gridCol w:w="1178"/>
        <w:gridCol w:w="1003"/>
        <w:gridCol w:w="1003"/>
        <w:gridCol w:w="1004"/>
        <w:gridCol w:w="1003"/>
      </w:tblGrid>
      <w:tr w:rsidR="00FA351E" w:rsidRPr="00FA351E" w:rsidTr="00224592">
        <w:trPr>
          <w:trHeight w:val="302"/>
          <w:jc w:val="center"/>
        </w:trPr>
        <w:tc>
          <w:tcPr>
            <w:tcW w:w="107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FA351E">
              <w:rPr>
                <w:rFonts w:ascii="Calibri" w:hAnsi="Calibri" w:cs="Calibri"/>
                <w:b/>
                <w:bCs/>
                <w:color w:val="000000"/>
              </w:rPr>
              <w:t>ANOVA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7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FA351E" w:rsidRPr="00FA351E" w:rsidTr="00224592">
        <w:trPr>
          <w:trHeight w:val="581"/>
          <w:jc w:val="center"/>
        </w:trPr>
        <w:tc>
          <w:tcPr>
            <w:tcW w:w="10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351E">
              <w:rPr>
                <w:rFonts w:ascii="Calibri" w:hAnsi="Calibri" w:cs="Calibri"/>
                <w:b/>
                <w:bCs/>
                <w:color w:val="000000"/>
              </w:rPr>
              <w:t>Model</w:t>
            </w:r>
          </w:p>
        </w:tc>
        <w:tc>
          <w:tcPr>
            <w:tcW w:w="14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7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351E">
              <w:rPr>
                <w:rFonts w:ascii="Calibri" w:hAnsi="Calibri" w:cs="Calibri"/>
                <w:b/>
                <w:bCs/>
                <w:color w:val="000000"/>
              </w:rPr>
              <w:t>Sum of Squares</w:t>
            </w: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FA351E">
              <w:rPr>
                <w:rFonts w:ascii="Calibri" w:hAnsi="Calibri" w:cs="Calibri"/>
                <w:b/>
                <w:bCs/>
                <w:color w:val="000000"/>
              </w:rPr>
              <w:t>df</w:t>
            </w:r>
            <w:proofErr w:type="spellEnd"/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351E">
              <w:rPr>
                <w:rFonts w:ascii="Calibri" w:hAnsi="Calibri" w:cs="Calibri"/>
                <w:b/>
                <w:bCs/>
                <w:color w:val="000000"/>
              </w:rPr>
              <w:t>Mean Square</w:t>
            </w:r>
          </w:p>
        </w:tc>
        <w:tc>
          <w:tcPr>
            <w:tcW w:w="1004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351E">
              <w:rPr>
                <w:rFonts w:ascii="Calibri" w:hAnsi="Calibri" w:cs="Calibri"/>
                <w:b/>
                <w:bCs/>
                <w:color w:val="000000"/>
              </w:rPr>
              <w:t>F</w:t>
            </w: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FA351E">
              <w:rPr>
                <w:rFonts w:ascii="Calibri" w:hAnsi="Calibri" w:cs="Calibri"/>
                <w:b/>
                <w:bCs/>
                <w:color w:val="000000"/>
              </w:rPr>
              <w:t>p</w:t>
            </w:r>
          </w:p>
        </w:tc>
      </w:tr>
      <w:tr w:rsidR="00FA351E" w:rsidRPr="00FA351E" w:rsidTr="00224592">
        <w:trPr>
          <w:trHeight w:val="290"/>
          <w:jc w:val="center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H₁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Regression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747.255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373.627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21.279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&lt; .001</w:t>
            </w:r>
          </w:p>
        </w:tc>
      </w:tr>
      <w:tr w:rsidR="00FA351E" w:rsidRPr="00FA351E" w:rsidTr="00224592">
        <w:trPr>
          <w:trHeight w:val="290"/>
          <w:jc w:val="center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Residual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4.723.242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269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17.559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A351E" w:rsidRPr="00FA351E" w:rsidTr="00224592">
        <w:trPr>
          <w:trHeight w:val="302"/>
          <w:jc w:val="center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Total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5.470.496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FA351E">
              <w:rPr>
                <w:rFonts w:ascii="Calibri" w:hAnsi="Calibri" w:cs="Calibri"/>
                <w:color w:val="000000"/>
              </w:rPr>
              <w:t>271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FA351E" w:rsidRPr="00FA351E" w:rsidTr="00224592">
        <w:trPr>
          <w:trHeight w:val="290"/>
          <w:jc w:val="center"/>
        </w:trPr>
        <w:tc>
          <w:tcPr>
            <w:tcW w:w="107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40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17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00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:rsidR="00FA351E" w:rsidRPr="00FA351E" w:rsidRDefault="00FA351E" w:rsidP="00FA351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iCs/>
                <w:color w:val="000000"/>
              </w:rPr>
            </w:pPr>
          </w:p>
        </w:tc>
      </w:tr>
    </w:tbl>
    <w:p w:rsidR="00FA351E" w:rsidRPr="006E542C" w:rsidRDefault="00FA351E" w:rsidP="00FA351E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6E542C">
        <w:rPr>
          <w:rFonts w:ascii="Times New Roman" w:hAnsi="Times New Roman" w:cs="Times New Roman"/>
          <w:sz w:val="24"/>
          <w:szCs w:val="24"/>
          <w:lang w:val="id-ID"/>
        </w:rPr>
        <w:t>Hasil uji regresi berganda menunjukkan bahwa model hubun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gan antara dukungan sosial dan manajemen waktu </w:t>
      </w:r>
      <w:r w:rsidRPr="006E542C">
        <w:rPr>
          <w:rFonts w:ascii="Times New Roman" w:hAnsi="Times New Roman" w:cs="Times New Roman"/>
          <w:sz w:val="24"/>
          <w:szCs w:val="24"/>
          <w:lang w:val="id-ID"/>
        </w:rPr>
        <w:t>dapat mempengaruhi stres akademik secara signifikan. Hal ini didasarkan pada hasil Fhitung (F = 21.279, p-value &lt; 0.001), yang menunjukkan bahwa model regresi ini signifikan. Dengan demikian, dapat disimpulkan bahwa hipotesis penelitian yang menyatakan terdapat hubungan dan pengaruh antara dukungan sosial, manajemen waktu, dan stres akademik terbukti benar.</w:t>
      </w:r>
      <w:r w:rsidRPr="00515AA2">
        <w:t xml:space="preserve"> </w:t>
      </w:r>
      <w:r w:rsidRPr="00515AA2">
        <w:rPr>
          <w:rFonts w:ascii="Times New Roman" w:hAnsi="Times New Roman" w:cs="Times New Roman"/>
          <w:sz w:val="24"/>
          <w:szCs w:val="24"/>
          <w:lang w:val="id-ID"/>
        </w:rPr>
        <w:t>Kemudian, dilakukannya uji regresi linear berdasarkan ANOVA menunjukkan hasil seperti berikut.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FA351E" w:rsidRDefault="00FA351E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FA351E" w:rsidRDefault="00FA351E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FA351E" w:rsidRDefault="00FA351E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FA351E" w:rsidRDefault="00FA351E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</w:p>
    <w:p w:rsidR="00FA351E" w:rsidRDefault="00FA351E" w:rsidP="004D0FA8">
      <w:pPr>
        <w:spacing w:after="108" w:line="240" w:lineRule="auto"/>
        <w:rPr>
          <w:rFonts w:ascii="Times New Roman" w:eastAsia="Times New Roman" w:hAnsi="Times New Roman" w:cs="Times New Roman"/>
          <w:sz w:val="24"/>
          <w:szCs w:val="24"/>
          <w:lang w:val="id-ID"/>
        </w:rPr>
      </w:pPr>
      <w:r>
        <w:rPr>
          <w:rFonts w:ascii="Times New Roman" w:eastAsia="Times New Roman" w:hAnsi="Times New Roman" w:cs="Times New Roman"/>
          <w:sz w:val="24"/>
          <w:szCs w:val="24"/>
          <w:lang w:val="id-ID"/>
        </w:rPr>
        <w:lastRenderedPageBreak/>
        <w:t xml:space="preserve">UJI T </w:t>
      </w:r>
    </w:p>
    <w:tbl>
      <w:tblPr>
        <w:tblW w:w="10063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790"/>
        <w:gridCol w:w="233"/>
        <w:gridCol w:w="2123"/>
        <w:gridCol w:w="233"/>
        <w:gridCol w:w="1548"/>
        <w:gridCol w:w="233"/>
        <w:gridCol w:w="1210"/>
        <w:gridCol w:w="233"/>
        <w:gridCol w:w="1221"/>
        <w:gridCol w:w="233"/>
        <w:gridCol w:w="770"/>
        <w:gridCol w:w="233"/>
        <w:gridCol w:w="770"/>
        <w:gridCol w:w="233"/>
      </w:tblGrid>
      <w:tr w:rsidR="004C1673" w:rsidRPr="004C1673" w:rsidTr="004C1673">
        <w:trPr>
          <w:gridAfter w:val="1"/>
          <w:wAfter w:w="233" w:type="dxa"/>
          <w:trHeight w:val="302"/>
        </w:trPr>
        <w:tc>
          <w:tcPr>
            <w:tcW w:w="3146" w:type="dxa"/>
            <w:gridSpan w:val="3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Coefficients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C1673" w:rsidRPr="004C1673" w:rsidTr="004C1673">
        <w:trPr>
          <w:trHeight w:val="617"/>
        </w:trPr>
        <w:tc>
          <w:tcPr>
            <w:tcW w:w="102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Model</w:t>
            </w:r>
          </w:p>
        </w:tc>
        <w:tc>
          <w:tcPr>
            <w:tcW w:w="2356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81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Unstandardized</w:t>
            </w:r>
          </w:p>
        </w:tc>
        <w:tc>
          <w:tcPr>
            <w:tcW w:w="144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Standard Error</w:t>
            </w:r>
          </w:p>
        </w:tc>
        <w:tc>
          <w:tcPr>
            <w:tcW w:w="1454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Standardized</w:t>
            </w:r>
          </w:p>
        </w:tc>
        <w:tc>
          <w:tcPr>
            <w:tcW w:w="100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t</w:t>
            </w:r>
          </w:p>
        </w:tc>
        <w:tc>
          <w:tcPr>
            <w:tcW w:w="1003" w:type="dxa"/>
            <w:gridSpan w:val="2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p</w:t>
            </w:r>
          </w:p>
        </w:tc>
      </w:tr>
      <w:tr w:rsidR="004C1673" w:rsidRPr="004C1673" w:rsidTr="004C1673">
        <w:trPr>
          <w:gridAfter w:val="1"/>
          <w:wAfter w:w="233" w:type="dxa"/>
          <w:trHeight w:val="29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H₀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(Intercept)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73.246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  <w:lang w:val="id-ID"/>
              </w:rPr>
              <w:t>.272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268.870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&lt; .001</w:t>
            </w:r>
          </w:p>
        </w:tc>
      </w:tr>
      <w:tr w:rsidR="004C1673" w:rsidRPr="004C1673" w:rsidTr="004C1673">
        <w:trPr>
          <w:gridAfter w:val="1"/>
          <w:wAfter w:w="233" w:type="dxa"/>
          <w:trHeight w:val="29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H₁</w:t>
            </w: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(Intercept)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93.405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3.109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30.045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&lt; .001</w:t>
            </w:r>
          </w:p>
        </w:tc>
      </w:tr>
      <w:tr w:rsidR="004C1673" w:rsidRPr="004C1673" w:rsidTr="004C1673">
        <w:trPr>
          <w:gridAfter w:val="1"/>
          <w:wAfter w:w="233" w:type="dxa"/>
          <w:trHeight w:val="362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DUKUNGAN SOSIAL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-0.120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0.056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-0.130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-2.152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0.032</w:t>
            </w:r>
          </w:p>
        </w:tc>
      </w:tr>
      <w:tr w:rsidR="004C1673" w:rsidRPr="004C1673" w:rsidTr="004C1673">
        <w:trPr>
          <w:gridAfter w:val="1"/>
          <w:wAfter w:w="233" w:type="dxa"/>
          <w:trHeight w:val="29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MANAJEMEN WAKTU</w:t>
            </w: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-0.260</w:t>
            </w: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0.051</w:t>
            </w: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-0.305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-5.060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&lt; .001</w:t>
            </w:r>
          </w:p>
        </w:tc>
      </w:tr>
      <w:tr w:rsidR="004C1673" w:rsidRPr="004C1673" w:rsidTr="004C1673">
        <w:trPr>
          <w:gridAfter w:val="1"/>
          <w:wAfter w:w="233" w:type="dxa"/>
          <w:trHeight w:val="302"/>
        </w:trPr>
        <w:tc>
          <w:tcPr>
            <w:tcW w:w="79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C1673" w:rsidRPr="004C1673" w:rsidTr="004C1673">
        <w:trPr>
          <w:gridAfter w:val="1"/>
          <w:wAfter w:w="233" w:type="dxa"/>
          <w:trHeight w:val="290"/>
        </w:trPr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4C1673" w:rsidRDefault="004C1673" w:rsidP="004C1673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515AA2">
        <w:rPr>
          <w:rFonts w:ascii="Times New Roman" w:hAnsi="Times New Roman" w:cs="Times New Roman"/>
          <w:sz w:val="24"/>
          <w:szCs w:val="24"/>
          <w:lang w:val="id-ID"/>
        </w:rPr>
        <w:t xml:space="preserve">Berdasarkan model linear yang terbentuk, dapat ditemukan bahwa manajemen waktu memberikan pengaruh yang lebih besar terhadap stres akademik dengan nilai t = 5.060 dan p &lt; .001, dibandingkan dengan dukungan sosial yang memiliki nilai t = </w:t>
      </w:r>
      <w:r>
        <w:rPr>
          <w:rFonts w:ascii="Times New Roman" w:hAnsi="Times New Roman" w:cs="Times New Roman"/>
          <w:sz w:val="24"/>
          <w:szCs w:val="24"/>
          <w:lang w:val="id-ID"/>
        </w:rPr>
        <w:t>-</w:t>
      </w:r>
      <w:r w:rsidRPr="00515AA2">
        <w:rPr>
          <w:rFonts w:ascii="Times New Roman" w:hAnsi="Times New Roman" w:cs="Times New Roman"/>
          <w:sz w:val="24"/>
          <w:szCs w:val="24"/>
          <w:lang w:val="id-ID"/>
        </w:rPr>
        <w:t>2.152 dan p = 0.032. Hal ini menunjukkan bahwa manajemen waktu memiliki pengaruh yang lebih signifikan terhadap tingkat stres akademik dibandingkan dengan dukungan sosial.</w:t>
      </w:r>
    </w:p>
    <w:p w:rsidR="004C1673" w:rsidRDefault="004C1673" w:rsidP="004C1673">
      <w:pPr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4C1673" w:rsidRPr="00271558" w:rsidRDefault="004C1673" w:rsidP="004C1673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271558">
        <w:rPr>
          <w:rFonts w:ascii="Times New Roman" w:hAnsi="Times New Roman" w:cs="Times New Roman"/>
          <w:sz w:val="24"/>
          <w:szCs w:val="24"/>
          <w:lang w:val="id-ID"/>
        </w:rPr>
        <w:t>TABEL SUMBANGAN EFEKTIF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23"/>
        <w:gridCol w:w="850"/>
        <w:gridCol w:w="992"/>
        <w:gridCol w:w="1291"/>
        <w:gridCol w:w="1003"/>
      </w:tblGrid>
      <w:tr w:rsidR="004C1673" w:rsidRPr="004C1673" w:rsidTr="00224592">
        <w:trPr>
          <w:trHeight w:val="302"/>
          <w:jc w:val="center"/>
        </w:trPr>
        <w:tc>
          <w:tcPr>
            <w:tcW w:w="102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4C1673" w:rsidRPr="004C1673" w:rsidTr="00224592">
        <w:trPr>
          <w:trHeight w:val="302"/>
          <w:jc w:val="center"/>
        </w:trPr>
        <w:tc>
          <w:tcPr>
            <w:tcW w:w="102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Model</w:t>
            </w: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R</w:t>
            </w:r>
          </w:p>
        </w:tc>
        <w:tc>
          <w:tcPr>
            <w:tcW w:w="992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R²</w:t>
            </w:r>
          </w:p>
        </w:tc>
        <w:tc>
          <w:tcPr>
            <w:tcW w:w="1291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Adjusted R²</w:t>
            </w:r>
          </w:p>
        </w:tc>
        <w:tc>
          <w:tcPr>
            <w:tcW w:w="1003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4C1673">
              <w:rPr>
                <w:rFonts w:ascii="Calibri" w:hAnsi="Calibri" w:cs="Calibri"/>
                <w:b/>
                <w:bCs/>
                <w:color w:val="000000"/>
              </w:rPr>
              <w:t>RMSE</w:t>
            </w:r>
          </w:p>
        </w:tc>
      </w:tr>
      <w:tr w:rsidR="004C1673" w:rsidRPr="004C1673" w:rsidTr="00224592">
        <w:trPr>
          <w:trHeight w:val="290"/>
          <w:jc w:val="center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H₀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0.000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4.493</w:t>
            </w:r>
          </w:p>
        </w:tc>
      </w:tr>
      <w:tr w:rsidR="004C1673" w:rsidRPr="004C1673" w:rsidTr="00224592">
        <w:trPr>
          <w:trHeight w:val="290"/>
          <w:jc w:val="center"/>
        </w:trPr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H₁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  <w:lang w:val="id-ID"/>
              </w:rPr>
              <w:t>.370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  <w:lang w:val="id-ID"/>
              </w:rPr>
              <w:t>.137</w:t>
            </w: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lang w:val="id-ID"/>
              </w:rPr>
            </w:pPr>
            <w:r>
              <w:rPr>
                <w:rFonts w:ascii="Calibri" w:hAnsi="Calibri" w:cs="Calibri"/>
                <w:color w:val="000000"/>
              </w:rPr>
              <w:t>0</w:t>
            </w:r>
            <w:r>
              <w:rPr>
                <w:rFonts w:ascii="Calibri" w:hAnsi="Calibri" w:cs="Calibri"/>
                <w:color w:val="000000"/>
                <w:lang w:val="id-ID"/>
              </w:rPr>
              <w:t>.130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 w:rsidRPr="004C1673">
              <w:rPr>
                <w:rFonts w:ascii="Calibri" w:hAnsi="Calibri" w:cs="Calibri"/>
                <w:color w:val="000000"/>
              </w:rPr>
              <w:t>4.190</w:t>
            </w:r>
          </w:p>
        </w:tc>
      </w:tr>
      <w:tr w:rsidR="004C1673" w:rsidRPr="004C1673" w:rsidTr="00224592">
        <w:trPr>
          <w:trHeight w:val="302"/>
          <w:jc w:val="center"/>
        </w:trPr>
        <w:tc>
          <w:tcPr>
            <w:tcW w:w="102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:rsidR="004C1673" w:rsidRPr="004C1673" w:rsidRDefault="004C1673" w:rsidP="004C16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</w:tbl>
    <w:p w:rsidR="00DD6ADB" w:rsidRDefault="00DD6ADB" w:rsidP="00DD6ADB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DD6ADB" w:rsidRDefault="00DD6ADB" w:rsidP="00DD6ADB">
      <w:pPr>
        <w:rPr>
          <w:rFonts w:ascii="Times New Roman" w:hAnsi="Times New Roman" w:cs="Times New Roman"/>
          <w:sz w:val="24"/>
          <w:szCs w:val="24"/>
          <w:lang w:val="id-ID"/>
        </w:rPr>
      </w:pPr>
      <w:r w:rsidRPr="00F27BB9">
        <w:rPr>
          <w:rFonts w:ascii="Times New Roman" w:hAnsi="Times New Roman" w:cs="Times New Roman"/>
          <w:sz w:val="24"/>
          <w:szCs w:val="24"/>
          <w:lang w:val="id-ID"/>
        </w:rPr>
        <w:t>Selanjutnya, sumbangan efektif yang diberikan oleh Manajemen Waktu dan Dukungan Sosial terhadap Stres Akademik adalah sebesar 13,7% (R² = 0,137 x 100%).</w:t>
      </w:r>
    </w:p>
    <w:p w:rsidR="00AC7BE4" w:rsidRDefault="00AC7BE4" w:rsidP="00DD6ADB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4D0FA8" w:rsidRPr="004D0FA8" w:rsidRDefault="004D0FA8" w:rsidP="004D0FA8">
      <w:pPr>
        <w:rPr>
          <w:sz w:val="24"/>
          <w:szCs w:val="24"/>
          <w:lang w:val="id-ID"/>
        </w:rPr>
      </w:pPr>
    </w:p>
    <w:sectPr w:rsidR="004D0FA8" w:rsidRPr="004D0F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FA8"/>
    <w:rsid w:val="0010042A"/>
    <w:rsid w:val="001E4961"/>
    <w:rsid w:val="002244DF"/>
    <w:rsid w:val="00224592"/>
    <w:rsid w:val="0027780D"/>
    <w:rsid w:val="003D17C7"/>
    <w:rsid w:val="004C1673"/>
    <w:rsid w:val="004D0FA8"/>
    <w:rsid w:val="005066D2"/>
    <w:rsid w:val="00586244"/>
    <w:rsid w:val="005B663C"/>
    <w:rsid w:val="006E0839"/>
    <w:rsid w:val="007C586A"/>
    <w:rsid w:val="00811078"/>
    <w:rsid w:val="00983352"/>
    <w:rsid w:val="00995BCA"/>
    <w:rsid w:val="00AC7BE4"/>
    <w:rsid w:val="00C027E1"/>
    <w:rsid w:val="00CD1959"/>
    <w:rsid w:val="00D20BE1"/>
    <w:rsid w:val="00D41B12"/>
    <w:rsid w:val="00D77101"/>
    <w:rsid w:val="00DD6ADB"/>
    <w:rsid w:val="00E728AD"/>
    <w:rsid w:val="00F60D58"/>
    <w:rsid w:val="00FA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E70C4"/>
  <w15:chartTrackingRefBased/>
  <w15:docId w15:val="{365DA1B1-D328-454B-82C4-6F322D353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4D0FA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D0FA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46365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70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6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904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92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01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38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21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123D6B8F-3603-4203-BC45-67791A8CF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2025-01-11T06:41:00Z</dcterms:created>
  <dcterms:modified xsi:type="dcterms:W3CDTF">2025-04-23T10:10:00Z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12th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9th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